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4F17E" w14:textId="77777777" w:rsidR="00145A9A" w:rsidRDefault="00145A9A" w:rsidP="00145A9A">
      <w:pPr>
        <w:widowControl w:val="0"/>
        <w:spacing w:after="120" w:line="240" w:lineRule="auto"/>
        <w:jc w:val="center"/>
        <w:rPr>
          <w:b/>
          <w:bCs/>
        </w:rPr>
      </w:pPr>
      <w:r w:rsidRPr="00B62CF2">
        <w:rPr>
          <w:b/>
          <w:bCs/>
        </w:rPr>
        <w:t>BÀI DỰ THI GIẢI BÚA LIỀM VÀNG NĂM 2026</w:t>
      </w:r>
    </w:p>
    <w:p w14:paraId="26615367" w14:textId="77777777" w:rsidR="00145A9A" w:rsidRPr="00B62CF2" w:rsidRDefault="00145A9A" w:rsidP="00145A9A">
      <w:pPr>
        <w:widowControl w:val="0"/>
        <w:spacing w:after="120" w:line="240" w:lineRule="auto"/>
        <w:jc w:val="center"/>
        <w:rPr>
          <w:b/>
          <w:bCs/>
        </w:rPr>
      </w:pPr>
    </w:p>
    <w:p w14:paraId="7EC96E15" w14:textId="48601A0E" w:rsidR="00145A9A" w:rsidRPr="00B62CF2" w:rsidRDefault="00145A9A" w:rsidP="00145A9A">
      <w:pPr>
        <w:widowControl w:val="0"/>
        <w:spacing w:after="120" w:line="240" w:lineRule="auto"/>
        <w:rPr>
          <w:b/>
          <w:bCs/>
        </w:rPr>
      </w:pPr>
      <w:r w:rsidRPr="00B62CF2">
        <w:t xml:space="preserve">Người dự thi: </w:t>
      </w:r>
      <w:r>
        <w:rPr>
          <w:b/>
          <w:bCs/>
        </w:rPr>
        <w:t>NGÔ ĐĂNG HOAN</w:t>
      </w:r>
    </w:p>
    <w:p w14:paraId="10910967" w14:textId="77777777" w:rsidR="00145A9A" w:rsidRDefault="00145A9A" w:rsidP="00145A9A">
      <w:pPr>
        <w:widowControl w:val="0"/>
        <w:spacing w:after="120" w:line="240" w:lineRule="auto"/>
        <w:jc w:val="both"/>
      </w:pPr>
      <w:r w:rsidRPr="00B62CF2">
        <w:t xml:space="preserve">Đơn vị: Chi bộ </w:t>
      </w:r>
      <w:r>
        <w:t>Tổ chức - Hành chính</w:t>
      </w:r>
      <w:r w:rsidRPr="00B62CF2">
        <w:t xml:space="preserve">, Đảng bộ </w:t>
      </w:r>
      <w:r>
        <w:t>Công ty Nhiệt điện Na Dương</w:t>
      </w:r>
      <w:r w:rsidRPr="00B62CF2">
        <w:t xml:space="preserve"> - TKV, Đảng bộ Tổng công ty Điện lực - TKV</w:t>
      </w:r>
    </w:p>
    <w:p w14:paraId="509A131A" w14:textId="77777777" w:rsidR="00145A9A" w:rsidRDefault="00145A9A" w:rsidP="00554B76">
      <w:pPr>
        <w:pStyle w:val="Heading4"/>
        <w:spacing w:before="120" w:after="120" w:line="360" w:lineRule="auto"/>
        <w:ind w:firstLine="540"/>
        <w:jc w:val="center"/>
        <w:rPr>
          <w:rFonts w:ascii="Times New Roman" w:hAnsi="Times New Roman" w:cs="Times New Roman"/>
          <w:color w:val="auto"/>
        </w:rPr>
      </w:pPr>
    </w:p>
    <w:p w14:paraId="57E8FD25" w14:textId="77777777" w:rsidR="0010734C" w:rsidRDefault="00BD41EF" w:rsidP="0010734C">
      <w:pPr>
        <w:pStyle w:val="Heading4"/>
        <w:keepNext w:val="0"/>
        <w:keepLines w:val="0"/>
        <w:widowControl w:val="0"/>
        <w:spacing w:before="120" w:line="360" w:lineRule="exact"/>
        <w:ind w:firstLine="547"/>
        <w:jc w:val="center"/>
        <w:rPr>
          <w:rFonts w:ascii="Times New Roman" w:hAnsi="Times New Roman" w:cs="Times New Roman"/>
          <w:i w:val="0"/>
          <w:iCs w:val="0"/>
          <w:color w:val="auto"/>
        </w:rPr>
      </w:pPr>
      <w:r w:rsidRPr="0010734C">
        <w:rPr>
          <w:rFonts w:ascii="Times New Roman" w:hAnsi="Times New Roman" w:cs="Times New Roman"/>
          <w:i w:val="0"/>
          <w:iCs w:val="0"/>
          <w:color w:val="auto"/>
        </w:rPr>
        <w:t>NÂNG CAO NĂNG LỰC QUẢN TRỊ, TỐI ƯU NGUỒN LỰC</w:t>
      </w:r>
    </w:p>
    <w:p w14:paraId="26DE4E78" w14:textId="48E6C38E" w:rsidR="00BD41EF" w:rsidRPr="0010734C" w:rsidRDefault="00BD41EF" w:rsidP="0010734C">
      <w:pPr>
        <w:pStyle w:val="Heading4"/>
        <w:keepNext w:val="0"/>
        <w:keepLines w:val="0"/>
        <w:widowControl w:val="0"/>
        <w:spacing w:before="120" w:line="360" w:lineRule="exact"/>
        <w:ind w:firstLine="547"/>
        <w:jc w:val="center"/>
        <w:rPr>
          <w:rFonts w:ascii="Times New Roman" w:hAnsi="Times New Roman" w:cs="Times New Roman"/>
          <w:i w:val="0"/>
          <w:iCs w:val="0"/>
          <w:color w:val="auto"/>
        </w:rPr>
      </w:pPr>
      <w:r w:rsidRPr="0010734C">
        <w:rPr>
          <w:rFonts w:ascii="Times New Roman" w:hAnsi="Times New Roman" w:cs="Times New Roman"/>
          <w:i w:val="0"/>
          <w:iCs w:val="0"/>
          <w:color w:val="auto"/>
        </w:rPr>
        <w:t xml:space="preserve"> VÀ CHUYỂN ĐỔI SỐ</w:t>
      </w:r>
    </w:p>
    <w:p w14:paraId="26DE4E79" w14:textId="77777777" w:rsidR="00BD41EF" w:rsidRPr="00234278" w:rsidRDefault="00BD41EF" w:rsidP="0010734C">
      <w:pPr>
        <w:pStyle w:val="Heading4"/>
        <w:keepNext w:val="0"/>
        <w:keepLines w:val="0"/>
        <w:widowControl w:val="0"/>
        <w:spacing w:before="120" w:line="360" w:lineRule="exact"/>
        <w:ind w:firstLine="547"/>
        <w:jc w:val="both"/>
        <w:rPr>
          <w:rFonts w:ascii="Times New Roman" w:hAnsi="Times New Roman" w:cs="Times New Roman"/>
          <w:color w:val="auto"/>
        </w:rPr>
      </w:pPr>
      <w:r w:rsidRPr="00234278">
        <w:rPr>
          <w:rFonts w:ascii="Times New Roman" w:hAnsi="Times New Roman" w:cs="Times New Roman"/>
          <w:color w:val="auto"/>
        </w:rPr>
        <w:t>1. Nhận diện bối cảnh sản xuất và định vị vai trò chiến lược của Quản đốc Phân xưởng</w:t>
      </w:r>
    </w:p>
    <w:p w14:paraId="26DE4E7A" w14:textId="77777777" w:rsidR="00BD41EF" w:rsidRPr="00234278" w:rsidRDefault="00BD41EF" w:rsidP="0010734C">
      <w:pPr>
        <w:pStyle w:val="NormalWeb"/>
        <w:widowControl w:val="0"/>
        <w:spacing w:before="120" w:beforeAutospacing="0" w:after="0" w:afterAutospacing="0" w:line="360" w:lineRule="exact"/>
        <w:ind w:firstLine="547"/>
        <w:jc w:val="both"/>
        <w:rPr>
          <w:sz w:val="28"/>
          <w:szCs w:val="28"/>
        </w:rPr>
      </w:pPr>
      <w:r w:rsidRPr="00234278">
        <w:rPr>
          <w:sz w:val="28"/>
          <w:szCs w:val="28"/>
        </w:rPr>
        <w:t xml:space="preserve">Năm 2026 đặt Phân xưởng Sửa chữa, Công ty Nhiệt điện Na Dương - TKV trước một bài toán quản trị vừa mang tính cấp thiết trước mắt, vừa mang ý nghĩa nền tảng lâu dài đối với sự an toàn và độ tin cậy vận hành của toàn bộ nhà máy. Nếu trước đây, tư duy điều hành sửa chữa chỉ đơn thuần dừng lại ở việc xử lý sự cố, "hỏng đâu sửa đó" để duy trì dòng điện, thì trong giai đoạn hiện nay, yêu cầu đặt ra đối với vị trí Quản đốc Phân xưởng đã thay đổi hoàn toàn về chất. Quản đốc không chỉ là một kỹ sư trưởng phụ trách kỹ thuật thuần túy, mà phải là một nhà quản trị toàn diện, làm chủ công nghệ đối với hệ thống thiết bị đã vận hành trên 20 năm, quản trị tối ưu nguồn nhân lực trong điều kiện biến động, đồng thời chủ động dẫn dắt quá trình chuyển đổi phương thức điều hành từ thủ công sang số hóa. Thực tế cho thấy cả hai tổ máy với tổng công suất 110 MW đã đưa vào vận hành thương mại từ tháng 11/2005; hầu hết dây chuyền công nghệ đã hết thời hạn khấu hao tài sản. Đặc thù đốt than xấu có hàm lượng lưu huỳnh và độ tro cao theo công nghệ Lò hơi tầng sôi tuần hoàn (CFB) khiến tốc độ mài mòn, ăn mòn thiết bị diễn ra vô cùng khốc liệt. Khi "tuổi thọ" thiết bị tăng, xác suất phát sinh khiếm khuyết tăng lên, nhu cầu phục hồi lớn trong khi áp lực dừng máy ngoài kế hoạch luôn chực chờ. Điều này đòi hỏi người Quản đốc phải thoát khỏi lối tư duy thụ động, xây dựng tầm nhìn quản trị rủi ro dài hạn, kết hợp chặt chẽ giữa kỷ luật điều hành, năng lực phân tích dữ liệu và tinh thần trách nhiệm của người đứng đầu. </w:t>
      </w:r>
    </w:p>
    <w:p w14:paraId="26DE4E7B" w14:textId="77777777" w:rsidR="00BD41EF" w:rsidRPr="00234278" w:rsidRDefault="00BD41EF" w:rsidP="0010734C">
      <w:pPr>
        <w:pStyle w:val="Heading4"/>
        <w:keepNext w:val="0"/>
        <w:keepLines w:val="0"/>
        <w:widowControl w:val="0"/>
        <w:spacing w:before="120" w:line="360" w:lineRule="exact"/>
        <w:ind w:firstLine="547"/>
        <w:jc w:val="both"/>
        <w:rPr>
          <w:rFonts w:ascii="Times New Roman" w:hAnsi="Times New Roman" w:cs="Times New Roman"/>
          <w:color w:val="auto"/>
        </w:rPr>
      </w:pPr>
      <w:r w:rsidRPr="00234278">
        <w:rPr>
          <w:rFonts w:ascii="Times New Roman" w:hAnsi="Times New Roman" w:cs="Times New Roman"/>
          <w:color w:val="auto"/>
        </w:rPr>
        <w:t>2. Giải bài toán áp lực kép: Xử lý biến động nhân sự, thiếu hụt bộ máy điều hành và chi viện dự án mới</w:t>
      </w:r>
    </w:p>
    <w:p w14:paraId="26DE4E7C" w14:textId="77777777" w:rsidR="00BD41EF" w:rsidRPr="00234278" w:rsidRDefault="00BD41EF" w:rsidP="0010734C">
      <w:pPr>
        <w:pStyle w:val="NormalWeb"/>
        <w:widowControl w:val="0"/>
        <w:spacing w:before="120" w:beforeAutospacing="0" w:after="0" w:afterAutospacing="0" w:line="360" w:lineRule="exact"/>
        <w:ind w:firstLine="547"/>
        <w:jc w:val="both"/>
        <w:rPr>
          <w:sz w:val="28"/>
          <w:szCs w:val="28"/>
        </w:rPr>
      </w:pPr>
      <w:r w:rsidRPr="00234278">
        <w:rPr>
          <w:sz w:val="28"/>
          <w:szCs w:val="28"/>
        </w:rPr>
        <w:t xml:space="preserve">Thách thức lớn nhất đối với Quản đốc Phân xưởng Sửa chữa trong năm 2026 là giải quyết bài toán "áp lực kép" vừa đảm bảo khối lượng công việc sửa chữa lớn (SCL 2026), bảo dưỡng định kỳ và các dự án cải tạo lớn (như hệ thống khử lưu huỳnh FGD, vòi đốt, CEMS, hệ thống bơm tuần hoàn), vừa phải đối mặt với tình trạng thiếu hụt lực lượng lao động. Bộ máy điều hành phân xưởng khuyết thiếu vị trí Kỹ thuật viên và Thống kê; đồng thời, phân xưởng phải điều phối 10 lao động có tay nghề cao, nòng cốt kỹ thuật sang hỗ trợ Dự án Nhà máy Nhiệt điện Na Dương II trong giai đoạn tăng tốc chuẩn bị nhận điện chạy thử. Để xử lý bài toán này, Quản đốc không thể nhìn nhận </w:t>
      </w:r>
      <w:r w:rsidRPr="00234278">
        <w:rPr>
          <w:sz w:val="28"/>
          <w:szCs w:val="28"/>
        </w:rPr>
        <w:lastRenderedPageBreak/>
        <w:t xml:space="preserve">việc thiếu người đồng nghĩa với việc bó tay hay suy giảm năng lực sản xuất, mà phải coi đây là cơ hội tái cấu trúc lại phương thức tổ chức lao động. Mô hình "chuyên môn hóa hẹp" truyền thống – nơi mỗi người chỉ làm đúng một việc – được Quản đốc quyết liệt thay đổi sang mô hình "đào tạo đa năng hóa công việc". Phân xưởng chủ động xây dựng các vùng năng lực giao thoa: công nhân cơ khí được bồi dưỡng kỹ năng sửa chữa điện - tự động hóa cơ bản và ngược lại, lực lượng điện - điều khiển có thể tham gia hỗ trợ các công đoạn cơ khí trong các đợt dừng lò. Đồng thời, Quản đốc thực hiện mô hình "phân quyền rõ ràng - kiêm nhiệm thông minh", đẩy mạnh cơ chế giao quyền cho các Tổ trưởng, Trưởng kíp và công nhân bậc cao trực tiếp đảm nhận vai trò Trưởng nhóm kỹ thuật tại các đường găng tiến độ. Việc điều động 10 lao động sang Na Dương II được Quản đốc thiết kế theo phương án luân chuyển chiến lược có thời hạn hoặc hỗ trợ theo chiến dịch cao điểm (như chiến dịch 90 ngày đêm nhận điện chạy thử), vừa giúp phân xưởng giữ lại lực lượng nòng cốt xử lý sự cố đột xuất tại chỗ, vừa giúp người lao động rèn luyện tay nghề ở dự án mới để trở về bổ sung cho đơn vị. Đối với khối văn phòng phân xưởng, Quản đốc trực tiếp cùng các Phó Quản đốc đảm nhận chỉ đạo các hồ sơ kỹ thuật lớn, dự toán SCL; đồng thời số hóa các biểu mẫu thống kê vật tư, tiến độ giao cho cấp tổ đội nhập liệu, giải quyết triệt để sự thiếu hụt vị trí thống kê mà vẫn đảm bảo tính chính xác. </w:t>
      </w:r>
    </w:p>
    <w:p w14:paraId="26DE4E7D" w14:textId="77777777" w:rsidR="00BD41EF" w:rsidRPr="00234278" w:rsidRDefault="00BD41EF" w:rsidP="0010734C">
      <w:pPr>
        <w:pStyle w:val="Heading4"/>
        <w:keepNext w:val="0"/>
        <w:keepLines w:val="0"/>
        <w:widowControl w:val="0"/>
        <w:spacing w:before="120" w:line="360" w:lineRule="exact"/>
        <w:ind w:firstLine="547"/>
        <w:jc w:val="both"/>
        <w:rPr>
          <w:rFonts w:ascii="Times New Roman" w:hAnsi="Times New Roman" w:cs="Times New Roman"/>
          <w:color w:val="auto"/>
        </w:rPr>
      </w:pPr>
      <w:r w:rsidRPr="00234278">
        <w:rPr>
          <w:rFonts w:ascii="Times New Roman" w:hAnsi="Times New Roman" w:cs="Times New Roman"/>
          <w:color w:val="auto"/>
        </w:rPr>
        <w:t>3. Đột phá trong quản trị kỹ thuật: Chuyển từ "sửa chữa khi hỏng" sang quản trị tình trạng thiết bị (CBM)</w:t>
      </w:r>
    </w:p>
    <w:p w14:paraId="26DE4E7E" w14:textId="77777777" w:rsidR="00BD41EF" w:rsidRPr="00234278" w:rsidRDefault="00BD41EF" w:rsidP="0010734C">
      <w:pPr>
        <w:pStyle w:val="NormalWeb"/>
        <w:widowControl w:val="0"/>
        <w:spacing w:before="120" w:beforeAutospacing="0" w:after="0" w:afterAutospacing="0" w:line="360" w:lineRule="exact"/>
        <w:ind w:firstLine="547"/>
        <w:jc w:val="both"/>
        <w:rPr>
          <w:sz w:val="28"/>
          <w:szCs w:val="28"/>
        </w:rPr>
      </w:pPr>
      <w:r w:rsidRPr="00234278">
        <w:rPr>
          <w:sz w:val="28"/>
          <w:szCs w:val="28"/>
        </w:rPr>
        <w:t xml:space="preserve">Đối với một nhà máy điện đã vận hành trên 20 năm và hết khấu hao, nhiệm vụ sống còn của Quản đốc Sửa chữa là phải dự báo và ngăn chặn trước các nguy cơ sự cố chứ không phải chờ thiết bị dừng mới tìm cách khắc phục. Dưới sự chỉ đạo của Quản đốc, Phân xưởng Sửa chữa thực hiện bước chuyển dịch lịch sử từ phương thức sửa chữa truyền thống sang quản trị tình trạng thiết bị (Condition-Based Maintenance - CBM) trên nền tảng bảo dưỡng phòng ngừa (PM). Toàn bộ các thông số kỹ thuật cốt yếu như biên độ rung, phổ rung động, nhiệt độ ổ trục, kết quả kiểm tra siêu âm chiều dày ống áp lực lò hơi, độ võng, khe hở ổ trục turbine... được thu thập định kỳ, chuẩn hóa dữ liệu và phân tích xu hướng biến động. Quản đốc chỉ đạo lập bản đồ và danh mục các "điểm yếu công nghệ" đối với những hệ thống chịu tải mài mòn cao như hệ thống cấp than, quạt gió cấp 1, quạt gió cấp 2, xích tải tro, hệ thống thải xỉ nóng. Khi các điểm yếu được nhận diện sớm, phân xưởng hoàn toàn chủ động trong việc lập danh mục vật tư dự phòng chiến lược, chuẩn bị sẵn các phương án thi công và bố trí lực lượng xử lý nhanh nhất. Đặc biệt, trong công tác SCL và sửa chữa thường xuyên, Quản đốc quán triệt và thực hiện nghiêm túc Thông báo kết luận số 579/TB-DLTKV của Tổng giám đốc Tổng công ty Điện lực - TKV về việc kiểm soát chặt chẽ chất lượng vật tư, phụ tùng đầu vào; nghiệm thu khắt khe từng công đoạn, không bỏ qua bất kỳ lỗi nhỏ nào. Tinh thần sáng kiến cải tiến kỹ thuật được phát huy tối đa (kế thừa và mở rộng từ 08 sáng kiến năm 2025 của Công ty) nhằm gia cố, phục hồi các chi tiết bị mài mòn, kéo dài tuổi thọ vận hành của linh kiện cũ thay vì thay mới lãng phí, góp phần giảm tỷ lệ tồn kho và tiết kiệm tối đa chi phí sửa chữa cho Công ty. </w:t>
      </w:r>
    </w:p>
    <w:p w14:paraId="26DE4E7F" w14:textId="77777777" w:rsidR="00BD41EF" w:rsidRPr="00234278" w:rsidRDefault="00BD41EF" w:rsidP="0010734C">
      <w:pPr>
        <w:pStyle w:val="Heading4"/>
        <w:keepNext w:val="0"/>
        <w:keepLines w:val="0"/>
        <w:widowControl w:val="0"/>
        <w:spacing w:before="120" w:line="360" w:lineRule="exact"/>
        <w:ind w:firstLine="547"/>
        <w:jc w:val="both"/>
        <w:rPr>
          <w:rFonts w:ascii="Times New Roman" w:hAnsi="Times New Roman" w:cs="Times New Roman"/>
          <w:color w:val="auto"/>
        </w:rPr>
      </w:pPr>
      <w:r w:rsidRPr="00234278">
        <w:rPr>
          <w:rFonts w:ascii="Times New Roman" w:hAnsi="Times New Roman" w:cs="Times New Roman"/>
          <w:color w:val="auto"/>
        </w:rPr>
        <w:lastRenderedPageBreak/>
        <w:t>4. An toàn vệ sinh lao động là cốt lõi và điều kiện tiên quyết của mọi hoạt động điều hành</w:t>
      </w:r>
    </w:p>
    <w:p w14:paraId="26DE4E80" w14:textId="4A26141A" w:rsidR="00BD41EF" w:rsidRPr="00234278" w:rsidRDefault="00BD41EF" w:rsidP="0010734C">
      <w:pPr>
        <w:pStyle w:val="NormalWeb"/>
        <w:widowControl w:val="0"/>
        <w:spacing w:before="120" w:beforeAutospacing="0" w:after="0" w:afterAutospacing="0" w:line="360" w:lineRule="exact"/>
        <w:ind w:firstLine="547"/>
        <w:jc w:val="both"/>
        <w:rPr>
          <w:sz w:val="28"/>
          <w:szCs w:val="28"/>
        </w:rPr>
      </w:pPr>
      <w:r w:rsidRPr="00234278">
        <w:rPr>
          <w:sz w:val="28"/>
          <w:szCs w:val="28"/>
        </w:rPr>
        <w:t xml:space="preserve">Trong môi trường sửa chữa nhà máy nhiệt điện với cực kỳ nhiều rủi ro tiềm ẩn – từ không gian hạn chế bên trong lò hơi, làm việc trên cao, môi trường nhiệt độ cao, bụi than cho đến các thiết bị điện áp cao </w:t>
      </w:r>
      <w:r w:rsidR="00D07131">
        <w:rPr>
          <w:sz w:val="28"/>
          <w:szCs w:val="28"/>
        </w:rPr>
        <w:t>-</w:t>
      </w:r>
      <w:r w:rsidRPr="00234278">
        <w:rPr>
          <w:sz w:val="28"/>
          <w:szCs w:val="28"/>
        </w:rPr>
        <w:t xml:space="preserve"> Quản đốc Phân xưởng luôn đặt An toàn vệ sinh lao động (ATVSLĐ) là nguyên tắc tối cao, không thể đánh đổi bằng bất kỳ giá nào. Việc gia tăng khối lượng SCL, thi công song song nhiều dự án cải tạo (như FGD) cùng sự tham gia của nhiều lực lượng công nhân phân xưởng và nhà thầu phụ khiến mặt bằng thi công vô cùng phức tạp. Quản đốc thiết lập một quy trình kiểm soát an toàn nghiêm ngặt gắn liền vào từng công đoạn công việc. Tất cả các công tác sửa chữa chỉ được phép bắt đầu khi và chỉ khi hoàn thành đầy đủ quy trình giao nhận thiết bị, cô lập điểm công tác, bàn giao mặt bằng thi công đúng quy định và có sự xác nhận an toàn của các bên liên quan. Quản đốc trực tiếp chỉ đạo các Phó Quản đốc và Tổ trưởng sản xuất tăng cường kiểm tra, giám sát hiện trường, kiểm soát chặt chẽ biện pháp thi công, trang bị bảo hộ lao động và phiếu công tác của cả lao động nội bộ lẫn nhân sự nhà thầu phụ. Tinh thần an toàn không chỉ ngừng lại ở việc tuân thủ thụ động các nội quy, mà được Quản đốc biến thành thói quen, nếp sống và văn hóa lao động của từng công nhân. Mọi vị trí làm việc đều phải trả lời rõ ràng bốn câu hỏi trước khi chạm vào thiết bị: Thiết bị đã được cô lập an toàn chưa? Phạm vi làm việc đến đâu? Ai là người chịu trách nhiệm chính? và Điều kiện nào bắt buộc phải dừng công việc khẩn cấp? Khi an toàn được chuẩn hóa, nó trở thành tấm lá chắn vững chắc bảo vệ sinh mạng người lao động và tài sản của doanh nghiệp. </w:t>
      </w:r>
    </w:p>
    <w:p w14:paraId="26DE4E81" w14:textId="77777777" w:rsidR="00BD41EF" w:rsidRPr="00234278" w:rsidRDefault="00BD41EF" w:rsidP="0010734C">
      <w:pPr>
        <w:pStyle w:val="Heading4"/>
        <w:keepNext w:val="0"/>
        <w:keepLines w:val="0"/>
        <w:widowControl w:val="0"/>
        <w:spacing w:before="120" w:line="360" w:lineRule="exact"/>
        <w:ind w:firstLine="547"/>
        <w:jc w:val="both"/>
        <w:rPr>
          <w:rFonts w:ascii="Times New Roman" w:hAnsi="Times New Roman" w:cs="Times New Roman"/>
          <w:color w:val="auto"/>
        </w:rPr>
      </w:pPr>
      <w:r w:rsidRPr="00234278">
        <w:rPr>
          <w:rFonts w:ascii="Times New Roman" w:hAnsi="Times New Roman" w:cs="Times New Roman"/>
          <w:color w:val="auto"/>
        </w:rPr>
        <w:t>5. Đẩy mạnh chuyển đổi số: Từ quản lý tài liệu đến hiện đại hóa quy trình điều hành sản xuất</w:t>
      </w:r>
    </w:p>
    <w:p w14:paraId="26DE4E82" w14:textId="77777777" w:rsidR="00BD41EF" w:rsidRPr="00234278" w:rsidRDefault="00BD41EF" w:rsidP="0010734C">
      <w:pPr>
        <w:pStyle w:val="NormalWeb"/>
        <w:widowControl w:val="0"/>
        <w:spacing w:before="120" w:beforeAutospacing="0" w:after="0" w:afterAutospacing="0" w:line="360" w:lineRule="exact"/>
        <w:ind w:firstLine="547"/>
        <w:jc w:val="both"/>
        <w:rPr>
          <w:sz w:val="28"/>
          <w:szCs w:val="28"/>
        </w:rPr>
      </w:pPr>
      <w:r w:rsidRPr="00234278">
        <w:rPr>
          <w:sz w:val="28"/>
          <w:szCs w:val="28"/>
        </w:rPr>
        <w:t xml:space="preserve">Một trong những đột phá quan trọng nhất mà Quản đốc Phân xưởng Sửa chữa tập trung triển khai để giải quyết bài toán thiếu nhân lực điều hành và nâng cao hiệu suất làm việc chính là đẩy mạnh chuyển đổi số toàn diện. Quản đốc chỉ đạo loại bỏ hoàn toàn lối làm việc thủ công, giấy tờ rườm rà bằng việc áp dụng 100% Phiếu công tác (PCT) và Phiếu thao tác (PTT) điện tử trên hệ thống phần mềm quản lý kỹ thuật của Tập đoàn/Tổng công ty. Việc số hóa quy trình lập, duyệt, lưu trữ phiếu không chỉ rút ngắn thời gian luân chuyển, nâng cao tính công khai minh bạch mà còn tạo ra cơ sở dữ liệu lịch sử chuẩn xác phục vụ việc tra cứu, phân tích rủi ro và đối soát an toàn. Bên cạnh đó, Quản đốc phát động chiến dịch "Số hóa lý lịch sức khỏe thiết bị": toàn bộ bản vẽ kỹ thuật, lý lịch máy, nhật ký sửa chữa, biên bản nghiệm thu qua các thời kỳ dừng lò đều được quét (scan) và lưu trữ phân loại theo cấu trúc cây thư mục thống nhất trên Cloud/Server của Công ty. Điều này giúp các kỹ sư, tổ trưởng dễ dàng truy cập tra cứu lịch sử sửa chữa của bất kỳ chi tiết máy nào ngay tại hiện trường thông qua thiết bị di động, không còn phụ thuộc vào tủ hồ sơ giấy hay trí nhớ của cá nhân. Trong công tác điều hành hàng ngày, 100% kế hoạch ngày/tuần/tháng, nhật ký giao ca và các báo cáo chuyên môn đều được phê duyệt, gửi nhận qua hệ thống E-office và Email công vụ theo chỉ đạo của Công ty. Việc ứng dụng các file tính toán chuẩn hóa </w:t>
      </w:r>
      <w:r w:rsidRPr="00234278">
        <w:rPr>
          <w:sz w:val="28"/>
          <w:szCs w:val="28"/>
        </w:rPr>
        <w:lastRenderedPageBreak/>
        <w:t>kết nối dữ liệu vật tư tồn kho giúp phân xưởng giảm hơn 70% thời gian tổng hợp báo cáo thủ công. Xa hơn nữa, Quản đốc định hướng chuyển đổi số không dừng lại ở việc "không dùng giấy", mà tiến tới kết nối chuỗi dữ liệu giữa Tình trạng thiết bị - Vật tư tồn kho - Nhân lực - Tiến độ - An toàn, giúp người quản lý đưa ra các quyết định điều hành chính xác dựa trên dữ liệu thực.</w:t>
      </w:r>
    </w:p>
    <w:p w14:paraId="26DE4E83" w14:textId="77777777" w:rsidR="00BD41EF" w:rsidRPr="00234278" w:rsidRDefault="00BD41EF" w:rsidP="0010734C">
      <w:pPr>
        <w:pStyle w:val="Heading4"/>
        <w:keepNext w:val="0"/>
        <w:keepLines w:val="0"/>
        <w:widowControl w:val="0"/>
        <w:spacing w:before="120" w:line="360" w:lineRule="exact"/>
        <w:ind w:firstLine="547"/>
        <w:jc w:val="both"/>
        <w:rPr>
          <w:rFonts w:ascii="Times New Roman" w:hAnsi="Times New Roman" w:cs="Times New Roman"/>
          <w:color w:val="auto"/>
        </w:rPr>
      </w:pPr>
      <w:r w:rsidRPr="00234278">
        <w:rPr>
          <w:rFonts w:ascii="Times New Roman" w:hAnsi="Times New Roman" w:cs="Times New Roman"/>
          <w:color w:val="auto"/>
        </w:rPr>
        <w:t>6. Nâng cao năng lực lãnh đạo Chi bộ, siết chặt kỷ cương và chăm lo đời sống người lao động</w:t>
      </w:r>
    </w:p>
    <w:p w14:paraId="26DE4E84" w14:textId="77777777" w:rsidR="0050376C" w:rsidRPr="00234278" w:rsidRDefault="00BD41EF" w:rsidP="0010734C">
      <w:pPr>
        <w:pStyle w:val="NormalWeb"/>
        <w:widowControl w:val="0"/>
        <w:spacing w:before="120" w:beforeAutospacing="0" w:after="0" w:afterAutospacing="0" w:line="360" w:lineRule="exact"/>
        <w:ind w:firstLine="547"/>
        <w:jc w:val="both"/>
        <w:rPr>
          <w:sz w:val="28"/>
          <w:szCs w:val="28"/>
        </w:rPr>
      </w:pPr>
      <w:r w:rsidRPr="00234278">
        <w:rPr>
          <w:sz w:val="28"/>
          <w:szCs w:val="28"/>
        </w:rPr>
        <w:t>Là Quản đốc kiêm Bí thư Chi bộ Phân xưởng Sửa chữa, người đứng đầu phân xưởng luôn quán triệt sâu sắc nguyên tắc: Công tác xây dựng Đảng là "sợi chỉ đỏ" và là "đòn bẩy" quyết định sự thành công của mọi nhiệm vụ chuyên môn. Quản đốc chỉ đạo Chi bộ thực hiện nghiêm túc Thông báo kết luận số 700/TB-NĐND của Giám đốc Công ty và Thông báo 579/TB-DLTKV của Tổng công ty về việc nâng cao kỷ luật, kỷ cương hành chính, khắc phục triệt để tình trạng "nói không đi đôi với làm" hay đùn đẩy trách nhiệm. Chi bộ PXSC tiên phong đi đầu trong việc ứng dụng công nghệ trong sinh hoạt Đảng: 100% đảng viên thực hiện thu nộp đảng phí trực tuyến qua tài khoản ngân hàng; 100% tài liệu, nghị quyết, kế hoạch sinh hoạt được đưa lên ứng dụng Sổ tay Đảng viên Điện tử để đảng viên truy cập nghiên cứu trước khi họp. Căn cứ Công văn số 172-CV/ĐU ngày 20/7/2026 của Đảng ủy Công ty, Quản đốc/Bí thư Chi bộ trực tiếp phát động phong trào viết bài hưởng ứng Giải báo chí "Búa Liềm Vàng" lần thứ XI - Năm 2026. Chi bộ giao nhiệm vụ cụ thể cho các đảng viên nòng cốt tập trung phản ánh những câu chuyện thực tế, sinh động của phân xưởng như: "Bản lĩnh người đảng viên TKV trong vượt khó sửa chữa thiết bị hết khấu hao", "Chuyển đổi số trong quản lý kỹ thuật", hay "Sự cống hiến thầm lặng của lực lượng chi viện Dự án Na Dương II", quyết tâm hoàn thành vượt chỉ tiêu bài dự thi cấp Công ty. Song song với công tác tư tưởng, Quản đốc phối hợp chặt chẽ với Công đoàn Phân xưởng thực hiện tốt các chế độ chính sách, chăm lo chu đáo đời sống vật chất và tinh thần cho người lao động. Mọi chế độ ăn ca, bồi dưỡng độc hại (từ 13.000đ - 20.000đ/ngày), trang bị bảo hộ, xe đưa đón, thăm hỏi ốm đau, nghỉ mát đều được thực hiện đầy đủ, công khai. Việc đảm bảo thu nhập bình quân ổn định cho công nhân (&gt;20,2 triệu đồng/người/tháng) cùng sự lắng nghe, chia sẻ kịp thời của Quản đốc đã tạo nên một tập thể đoàn kết, đồng lòng, biến niềm tin vào tổ chức Đảng thành động lực hăng hái thi đua lao động sản xuất.</w:t>
      </w:r>
    </w:p>
    <w:p w14:paraId="26DE4E85" w14:textId="77777777" w:rsidR="0050376C" w:rsidRPr="0050376C" w:rsidRDefault="0050376C" w:rsidP="0010734C">
      <w:pPr>
        <w:widowControl w:val="0"/>
        <w:spacing w:before="120" w:after="0" w:line="360" w:lineRule="exact"/>
        <w:ind w:firstLine="547"/>
        <w:jc w:val="both"/>
        <w:outlineLvl w:val="3"/>
        <w:rPr>
          <w:rFonts w:eastAsia="Times New Roman"/>
          <w:b/>
          <w:bCs/>
          <w:i/>
        </w:rPr>
      </w:pPr>
      <w:r w:rsidRPr="00234278">
        <w:rPr>
          <w:rFonts w:eastAsia="Times New Roman"/>
          <w:b/>
          <w:bCs/>
          <w:i/>
        </w:rPr>
        <w:t>7. Kết luận: Tổ chức lại nguồn lực và chuyển đổi số để tạo sức mạnh bền vững trong tổng hệ thống</w:t>
      </w:r>
    </w:p>
    <w:p w14:paraId="26DE4E86" w14:textId="77777777" w:rsidR="0050376C" w:rsidRPr="0050376C" w:rsidRDefault="0050376C" w:rsidP="0010734C">
      <w:pPr>
        <w:widowControl w:val="0"/>
        <w:spacing w:before="120" w:after="0" w:line="360" w:lineRule="exact"/>
        <w:ind w:firstLine="547"/>
        <w:jc w:val="both"/>
        <w:rPr>
          <w:rFonts w:eastAsia="Times New Roman"/>
        </w:rPr>
      </w:pPr>
      <w:r w:rsidRPr="0050376C">
        <w:rPr>
          <w:rFonts w:eastAsia="Times New Roman"/>
        </w:rPr>
        <w:t xml:space="preserve">Nhìn lại toàn bộ bức tranh vận hành và sản xuất kinh doanh của Phân xưởng Sửa chữa trong năm 2026, có thể khẳng định bài toán quản trị mà đơn vị phải đối mặt không đơn thuần là việc khắc phục một sự cố cơ khí hay sắp xếp ca kíp ngắn hạn tại một dây chuyền cục bộ. Đó là một bài toán tổng hợp mang tính chiến lược đòi hỏi sự kết hợp đồng bộ giữa quản trị con người, quản trị độ tin cậy của hệ thống thiết bị đã hết thời hạn khấu hao, ứng dụng công nghệ số hóa và đổi mới phương thức lãnh đạo. </w:t>
      </w:r>
      <w:r w:rsidRPr="0050376C">
        <w:rPr>
          <w:rFonts w:eastAsia="Times New Roman"/>
        </w:rPr>
        <w:lastRenderedPageBreak/>
        <w:t xml:space="preserve">Tuy nhiên, trong tư duy điều hành hiện đại, người Quản đốc Phân xưởng cần nhìn nhận rõ ràng rằng: Dù vai trò người đứng đầu phân xưởng có quan trọng đến đâu, Phân xưởng Sửa chữa cũng chỉ là </w:t>
      </w:r>
      <w:r w:rsidRPr="0050376C">
        <w:rPr>
          <w:rFonts w:eastAsia="Times New Roman"/>
          <w:bCs/>
        </w:rPr>
        <w:t>một mắt xích trong chuỗi dây chuyền vận hành liên hoàn của Nhà máy Nhiệt điện Na Dương</w:t>
      </w:r>
      <w:r w:rsidRPr="0050376C">
        <w:rPr>
          <w:rFonts w:eastAsia="Times New Roman"/>
        </w:rPr>
        <w:t xml:space="preserve">, và Na Dương cũng chỉ là </w:t>
      </w:r>
      <w:r w:rsidRPr="0050376C">
        <w:rPr>
          <w:rFonts w:eastAsia="Times New Roman"/>
          <w:bCs/>
        </w:rPr>
        <w:t>một thành tố trong bức tranh năng lượng chung của Tổng</w:t>
      </w:r>
      <w:r w:rsidR="00234278" w:rsidRPr="00234278">
        <w:rPr>
          <w:rFonts w:eastAsia="Times New Roman"/>
          <w:bCs/>
        </w:rPr>
        <w:t xml:space="preserve"> công ty Điện lực - TKV </w:t>
      </w:r>
      <w:r w:rsidRPr="0050376C">
        <w:rPr>
          <w:rFonts w:eastAsia="Times New Roman"/>
          <w:bCs/>
        </w:rPr>
        <w:t>cũng như Tập đoàn Công nghiệp Than - Khoáng sản Việt Nam</w:t>
      </w:r>
      <w:r w:rsidRPr="0050376C">
        <w:rPr>
          <w:rFonts w:eastAsia="Times New Roman"/>
        </w:rPr>
        <w:t xml:space="preserve">. Sự thành công của phân xưởng không thể tách rời sự chỉ đạo sát sao của Ban Giám đốc Công ty, sự phối hợp nhịp nhàng giữa các phân xưởng Vận hành, Nhiên liệu, Điện - Tự động hóa, và sự đồng hành hỗ trợ từ các phòng nghiệp vụ cùng các đơn vị bạn trong Tổng công ty. </w:t>
      </w:r>
    </w:p>
    <w:p w14:paraId="26DE4E87" w14:textId="77777777" w:rsidR="00234278" w:rsidRPr="00234278" w:rsidRDefault="0050376C" w:rsidP="0010734C">
      <w:pPr>
        <w:widowControl w:val="0"/>
        <w:spacing w:before="120" w:after="0" w:line="360" w:lineRule="exact"/>
        <w:ind w:firstLine="547"/>
        <w:jc w:val="both"/>
        <w:rPr>
          <w:rFonts w:eastAsia="Times New Roman"/>
        </w:rPr>
      </w:pPr>
      <w:r w:rsidRPr="0050376C">
        <w:rPr>
          <w:rFonts w:eastAsia="Times New Roman"/>
        </w:rPr>
        <w:t>Trong bối cảnh thiết bị đã qua hơn 20 năm vận hành liên tục với đặc thù mài mòn khốc liệt của công nghệ lò hơi tầng sôi tuần hoàn, bài toán già hóa thiết bị và áp lực tối ưu chi phí không chỉ diễn ra riêng tại Na Dương mà còn là thách thức chung của nhiều nhà máy nhiệt điện than trên toàn quốc. Việc Phân xưởng Sửa chữa Na Dương chủ động chia sẻ 10 nhân sự nòng cốt cho Dự án Nhà máy Nhiệt điện Na Dương II chính là minh chứng rõ nét nhất cho tư duy "mắt xích hệ thống": Không co cụm giữ nguồn lực cho riêng mình mà sẵn sàng gánh vác trách nhiệm chung, vì sự phát triển tổng thể của Tổng công ty và Tập đoàn. Ngược lại, những bài học kinh nghiệm rút ra từ Na Dương I về quản trị tình trạng thiết bị (CBM), chuyển đổi số quy trình kỹ thuật, hay mô hình đào tạo đa năng hóa lao động cũng hoàn toàn có thể trở thành những</w:t>
      </w:r>
      <w:r w:rsidRPr="00234278">
        <w:rPr>
          <w:rFonts w:eastAsia="Times New Roman"/>
        </w:rPr>
        <w:t xml:space="preserve"> thực tiễn tốt </w:t>
      </w:r>
      <w:r w:rsidRPr="0050376C">
        <w:rPr>
          <w:rFonts w:eastAsia="Times New Roman"/>
        </w:rPr>
        <w:t>để giao lưu, học hỏi và lan tỏa sang các đơn vị sửa chữa bạn trong cùng Tổng công ty.</w:t>
      </w:r>
    </w:p>
    <w:p w14:paraId="26DE4E88" w14:textId="77777777" w:rsidR="0050376C" w:rsidRPr="0050376C" w:rsidRDefault="0050376C" w:rsidP="0010734C">
      <w:pPr>
        <w:widowControl w:val="0"/>
        <w:spacing w:before="120" w:after="0" w:line="360" w:lineRule="exact"/>
        <w:ind w:firstLine="547"/>
        <w:jc w:val="both"/>
        <w:rPr>
          <w:rFonts w:eastAsia="Times New Roman"/>
        </w:rPr>
      </w:pPr>
      <w:r w:rsidRPr="0050376C">
        <w:rPr>
          <w:rFonts w:eastAsia="Times New Roman"/>
        </w:rPr>
        <w:t xml:space="preserve"> Hiệu quả điều hành của Quản đốc chỉ thực sự phát huy giá trị cao nhất khi biết đặt phân xưởng của mình vào đúng vị trí trong chuỗi giá trị chung, biết biến áp lực thành động lực đổi mới. Đó là việc xây dựng một mô hình quản trị trong đó con người được đào tạo đa năng hóa nhưng trách nhiệm từng vị trí vẫn rõ ràng; công việc được phân quyền đến tận cấp tổ kíp nhưng vẫn nằm trong tầm kiểm soát chặt chẽ; thiết bị không chỉ được sửa chữa khi phát sinh sự cố mà được chủ động theo dõi "sức khỏe" để phòng ngừa rủi ro; dữ liệu không chỉ dừng ở việc lưu trữ mà phải phục vụ trực tiếp cho các quyết định sản xuất; và trên hết, mọi mục tiêu về tiến độ, chi phí hay chỉ số kinh tế - kỹ thuật đều phải được đặt trên nền tảng an toàn tuyệt đối. Khi công tác xây dựng Đảng được giữ vững là hạt nhân lãnh đạo và là "sợi chỉ đỏ" xuyên suốt, niềm tin, sự đoàn kết của tập thể cán bộ công nhân viên cùng sự kết nối chặt chẽ với các đơn vị bạn sẽ tạo thành sức mạnh tổng hợp to lớn. </w:t>
      </w:r>
    </w:p>
    <w:p w14:paraId="26DE4E89" w14:textId="77777777" w:rsidR="00BD41EF" w:rsidRPr="00234278" w:rsidRDefault="0050376C" w:rsidP="0010734C">
      <w:pPr>
        <w:widowControl w:val="0"/>
        <w:spacing w:before="120" w:after="0" w:line="360" w:lineRule="exact"/>
        <w:ind w:firstLine="547"/>
        <w:jc w:val="both"/>
        <w:rPr>
          <w:rFonts w:eastAsia="Times New Roman"/>
        </w:rPr>
      </w:pPr>
      <w:r w:rsidRPr="0050376C">
        <w:rPr>
          <w:rFonts w:eastAsia="Times New Roman"/>
        </w:rPr>
        <w:t xml:space="preserve">Hướng đi của Phân xưởng Sửa chữa dưới sự dẫn dắt của Quản đốc không chỉ nhằm mục tiêu hoàn thành các chỉ tiêu ngắn hạn của năm 2026, mà hướng tới việc đặt nền móng vững chắc cho một phương thức quản lý hiện đại, phù hợp với giai đoạn thiết bị già hóa và xu thế chuyển đổi số mạnh mẽ của DLTKV. Sức mạnh của Phân xưởng Sửa chữa khi đó không còn phụ thuộc đơn thuần vào số lượng nhân sự hay quy mô máy móc, mà nằm ở trình độ làm chủ công nghệ, năng lực tổ chức sản xuất khoa học, chất lượng dữ liệu quản trị và tinh thần "Kỷ luật và Đồng tâm". Đó chính là con đường ngắn nhất và bền vững nhất để Phân xưởng Sửa chữa tiếp tục khẳng định vị thế </w:t>
      </w:r>
      <w:r w:rsidRPr="0050376C">
        <w:rPr>
          <w:rFonts w:eastAsia="Times New Roman"/>
        </w:rPr>
        <w:lastRenderedPageBreak/>
        <w:t xml:space="preserve">là một mắt xích tin cậy, vững chắc trong Nhà máy Nhiệt điện Na Dương, đóng góp tích cực vào sự ổn định chung của Tổng công ty Điện lực - TKV, góp phần giữ vững an ninh năng lượng quốc gia trong giai đoạn mới. </w:t>
      </w:r>
    </w:p>
    <w:sectPr w:rsidR="00BD41EF" w:rsidRPr="00234278" w:rsidSect="00D07131">
      <w:headerReference w:type="default" r:id="rId8"/>
      <w:pgSz w:w="11906" w:h="16838" w:code="9"/>
      <w:pgMar w:top="1170" w:right="656" w:bottom="450" w:left="171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AA9EF" w14:textId="77777777" w:rsidR="00EA5DB1" w:rsidRDefault="00EA5DB1" w:rsidP="0010734C">
      <w:pPr>
        <w:spacing w:after="0" w:line="240" w:lineRule="auto"/>
      </w:pPr>
      <w:r>
        <w:separator/>
      </w:r>
    </w:p>
  </w:endnote>
  <w:endnote w:type="continuationSeparator" w:id="0">
    <w:p w14:paraId="11571EEF" w14:textId="77777777" w:rsidR="00EA5DB1" w:rsidRDefault="00EA5DB1" w:rsidP="00107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FD3AF" w14:textId="77777777" w:rsidR="00EA5DB1" w:rsidRDefault="00EA5DB1" w:rsidP="0010734C">
      <w:pPr>
        <w:spacing w:after="0" w:line="240" w:lineRule="auto"/>
      </w:pPr>
      <w:r>
        <w:separator/>
      </w:r>
    </w:p>
  </w:footnote>
  <w:footnote w:type="continuationSeparator" w:id="0">
    <w:p w14:paraId="14BA8874" w14:textId="77777777" w:rsidR="00EA5DB1" w:rsidRDefault="00EA5DB1" w:rsidP="00107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58039"/>
      <w:docPartObj>
        <w:docPartGallery w:val="Page Numbers (Top of Page)"/>
        <w:docPartUnique/>
      </w:docPartObj>
    </w:sdtPr>
    <w:sdtEndPr>
      <w:rPr>
        <w:noProof/>
      </w:rPr>
    </w:sdtEndPr>
    <w:sdtContent>
      <w:p w14:paraId="7AD8CA01" w14:textId="272B918B" w:rsidR="0010734C" w:rsidRDefault="0010734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9FF11ED" w14:textId="77777777" w:rsidR="0010734C" w:rsidRPr="0010734C" w:rsidRDefault="0010734C">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E46D2"/>
    <w:multiLevelType w:val="multilevel"/>
    <w:tmpl w:val="4062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F4447"/>
    <w:multiLevelType w:val="multilevel"/>
    <w:tmpl w:val="3FECA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1A48BD"/>
    <w:multiLevelType w:val="multilevel"/>
    <w:tmpl w:val="80F6E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093F96"/>
    <w:multiLevelType w:val="multilevel"/>
    <w:tmpl w:val="5A56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D459BD"/>
    <w:multiLevelType w:val="multilevel"/>
    <w:tmpl w:val="E47E7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8C5C45"/>
    <w:multiLevelType w:val="multilevel"/>
    <w:tmpl w:val="004CB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FF690F"/>
    <w:multiLevelType w:val="multilevel"/>
    <w:tmpl w:val="3E966B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CF0371"/>
    <w:multiLevelType w:val="multilevel"/>
    <w:tmpl w:val="47C4B1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1966EE"/>
    <w:multiLevelType w:val="multilevel"/>
    <w:tmpl w:val="1CA2B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AA4545"/>
    <w:multiLevelType w:val="multilevel"/>
    <w:tmpl w:val="51CA11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7880160">
    <w:abstractNumId w:val="3"/>
  </w:num>
  <w:num w:numId="2" w16cid:durableId="66459823">
    <w:abstractNumId w:val="0"/>
  </w:num>
  <w:num w:numId="3" w16cid:durableId="1308433714">
    <w:abstractNumId w:val="9"/>
  </w:num>
  <w:num w:numId="4" w16cid:durableId="2059010891">
    <w:abstractNumId w:val="5"/>
  </w:num>
  <w:num w:numId="5" w16cid:durableId="307713714">
    <w:abstractNumId w:val="8"/>
  </w:num>
  <w:num w:numId="6" w16cid:durableId="1111630099">
    <w:abstractNumId w:val="6"/>
  </w:num>
  <w:num w:numId="7" w16cid:durableId="1070083481">
    <w:abstractNumId w:val="4"/>
  </w:num>
  <w:num w:numId="8" w16cid:durableId="1895921397">
    <w:abstractNumId w:val="1"/>
  </w:num>
  <w:num w:numId="9" w16cid:durableId="1984003886">
    <w:abstractNumId w:val="7"/>
  </w:num>
  <w:num w:numId="10" w16cid:durableId="19986069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581"/>
    <w:rsid w:val="000B6581"/>
    <w:rsid w:val="000D6C53"/>
    <w:rsid w:val="0010734C"/>
    <w:rsid w:val="0014396C"/>
    <w:rsid w:val="00145A9A"/>
    <w:rsid w:val="00177B04"/>
    <w:rsid w:val="00201F55"/>
    <w:rsid w:val="00210F20"/>
    <w:rsid w:val="002336C4"/>
    <w:rsid w:val="00234278"/>
    <w:rsid w:val="003563F6"/>
    <w:rsid w:val="00377097"/>
    <w:rsid w:val="003A671F"/>
    <w:rsid w:val="00404553"/>
    <w:rsid w:val="004420BD"/>
    <w:rsid w:val="004C61C9"/>
    <w:rsid w:val="0050376C"/>
    <w:rsid w:val="005378D8"/>
    <w:rsid w:val="00554B76"/>
    <w:rsid w:val="005A28D9"/>
    <w:rsid w:val="005F3BC3"/>
    <w:rsid w:val="00717EE8"/>
    <w:rsid w:val="0078447F"/>
    <w:rsid w:val="007C0285"/>
    <w:rsid w:val="00947C86"/>
    <w:rsid w:val="009570CE"/>
    <w:rsid w:val="00A02164"/>
    <w:rsid w:val="00A20780"/>
    <w:rsid w:val="00A54F89"/>
    <w:rsid w:val="00AB4C69"/>
    <w:rsid w:val="00AC55B9"/>
    <w:rsid w:val="00BD0B75"/>
    <w:rsid w:val="00BD41EF"/>
    <w:rsid w:val="00CF3A34"/>
    <w:rsid w:val="00D07131"/>
    <w:rsid w:val="00D2540B"/>
    <w:rsid w:val="00D27D6D"/>
    <w:rsid w:val="00DB4B34"/>
    <w:rsid w:val="00EA5DB1"/>
    <w:rsid w:val="00EB28D6"/>
    <w:rsid w:val="00FF6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E4E78"/>
  <w15:docId w15:val="{0C1EF329-8AC9-47DC-AACA-C174DF8A7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7D6D"/>
    <w:pPr>
      <w:keepNext/>
      <w:keepLines/>
      <w:spacing w:before="480" w:after="0"/>
      <w:outlineLvl w:val="0"/>
    </w:pPr>
    <w:rPr>
      <w:rFonts w:asciiTheme="majorHAnsi" w:eastAsiaTheme="majorEastAsia" w:hAnsiTheme="majorHAnsi" w:cstheme="majorBidi"/>
      <w:b/>
      <w:bCs/>
      <w:color w:val="2E74B5" w:themeColor="accent1" w:themeShade="BF"/>
    </w:rPr>
  </w:style>
  <w:style w:type="paragraph" w:styleId="Heading2">
    <w:name w:val="heading 2"/>
    <w:basedOn w:val="Normal"/>
    <w:link w:val="Heading2Char"/>
    <w:uiPriority w:val="9"/>
    <w:qFormat/>
    <w:rsid w:val="00A54F89"/>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A54F89"/>
    <w:pPr>
      <w:spacing w:before="100" w:beforeAutospacing="1" w:after="100" w:afterAutospacing="1" w:line="240" w:lineRule="auto"/>
      <w:outlineLvl w:val="2"/>
    </w:pPr>
    <w:rPr>
      <w:rFonts w:eastAsia="Times New Roman"/>
      <w:b/>
      <w:bCs/>
      <w:sz w:val="27"/>
      <w:szCs w:val="27"/>
    </w:rPr>
  </w:style>
  <w:style w:type="paragraph" w:styleId="Heading4">
    <w:name w:val="heading 4"/>
    <w:basedOn w:val="Normal"/>
    <w:next w:val="Normal"/>
    <w:link w:val="Heading4Char"/>
    <w:uiPriority w:val="9"/>
    <w:unhideWhenUsed/>
    <w:qFormat/>
    <w:rsid w:val="00D27D6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54F89"/>
    <w:rPr>
      <w:rFonts w:eastAsia="Times New Roman"/>
      <w:b/>
      <w:bCs/>
      <w:sz w:val="36"/>
      <w:szCs w:val="36"/>
    </w:rPr>
  </w:style>
  <w:style w:type="character" w:customStyle="1" w:styleId="Heading3Char">
    <w:name w:val="Heading 3 Char"/>
    <w:basedOn w:val="DefaultParagraphFont"/>
    <w:link w:val="Heading3"/>
    <w:uiPriority w:val="9"/>
    <w:rsid w:val="00A54F89"/>
    <w:rPr>
      <w:rFonts w:eastAsia="Times New Roman"/>
      <w:b/>
      <w:bCs/>
      <w:sz w:val="27"/>
      <w:szCs w:val="27"/>
    </w:rPr>
  </w:style>
  <w:style w:type="character" w:styleId="Strong">
    <w:name w:val="Strong"/>
    <w:basedOn w:val="DefaultParagraphFont"/>
    <w:uiPriority w:val="22"/>
    <w:qFormat/>
    <w:rsid w:val="00A54F89"/>
    <w:rPr>
      <w:b/>
      <w:bCs/>
    </w:rPr>
  </w:style>
  <w:style w:type="paragraph" w:styleId="NormalWeb">
    <w:name w:val="Normal (Web)"/>
    <w:basedOn w:val="Normal"/>
    <w:uiPriority w:val="99"/>
    <w:unhideWhenUsed/>
    <w:rsid w:val="00A54F89"/>
    <w:pPr>
      <w:spacing w:before="100" w:beforeAutospacing="1" w:after="100" w:afterAutospacing="1" w:line="240" w:lineRule="auto"/>
    </w:pPr>
    <w:rPr>
      <w:rFonts w:eastAsia="Times New Roman"/>
      <w:sz w:val="24"/>
      <w:szCs w:val="24"/>
    </w:rPr>
  </w:style>
  <w:style w:type="character" w:customStyle="1" w:styleId="Heading1Char">
    <w:name w:val="Heading 1 Char"/>
    <w:basedOn w:val="DefaultParagraphFont"/>
    <w:link w:val="Heading1"/>
    <w:uiPriority w:val="9"/>
    <w:rsid w:val="00D27D6D"/>
    <w:rPr>
      <w:rFonts w:asciiTheme="majorHAnsi" w:eastAsiaTheme="majorEastAsia" w:hAnsiTheme="majorHAnsi" w:cstheme="majorBidi"/>
      <w:b/>
      <w:bCs/>
      <w:color w:val="2E74B5" w:themeColor="accent1" w:themeShade="BF"/>
    </w:rPr>
  </w:style>
  <w:style w:type="character" w:customStyle="1" w:styleId="Heading4Char">
    <w:name w:val="Heading 4 Char"/>
    <w:basedOn w:val="DefaultParagraphFont"/>
    <w:link w:val="Heading4"/>
    <w:uiPriority w:val="9"/>
    <w:rsid w:val="00D27D6D"/>
    <w:rPr>
      <w:rFonts w:asciiTheme="majorHAnsi" w:eastAsiaTheme="majorEastAsia" w:hAnsiTheme="majorHAnsi" w:cstheme="majorBidi"/>
      <w:b/>
      <w:bCs/>
      <w:i/>
      <w:iCs/>
      <w:color w:val="5B9BD5" w:themeColor="accent1"/>
    </w:rPr>
  </w:style>
  <w:style w:type="character" w:styleId="HTMLCode">
    <w:name w:val="HTML Code"/>
    <w:basedOn w:val="DefaultParagraphFont"/>
    <w:uiPriority w:val="99"/>
    <w:semiHidden/>
    <w:unhideWhenUsed/>
    <w:rsid w:val="00D27D6D"/>
    <w:rPr>
      <w:rFonts w:ascii="Courier New" w:eastAsia="Times New Roman" w:hAnsi="Courier New" w:cs="Courier New"/>
      <w:sz w:val="20"/>
      <w:szCs w:val="20"/>
    </w:rPr>
  </w:style>
  <w:style w:type="paragraph" w:styleId="Footer">
    <w:name w:val="footer"/>
    <w:basedOn w:val="Normal"/>
    <w:link w:val="FooterChar"/>
    <w:uiPriority w:val="99"/>
    <w:unhideWhenUsed/>
    <w:rsid w:val="00A20780"/>
    <w:pPr>
      <w:tabs>
        <w:tab w:val="center" w:pos="4680"/>
        <w:tab w:val="right" w:pos="9360"/>
      </w:tabs>
      <w:spacing w:before="100" w:beforeAutospacing="1" w:after="0" w:line="240" w:lineRule="auto"/>
      <w:ind w:firstLine="454"/>
    </w:pPr>
    <w:rPr>
      <w:rFonts w:eastAsia="Times New Roman"/>
      <w:sz w:val="26"/>
      <w:szCs w:val="26"/>
    </w:rPr>
  </w:style>
  <w:style w:type="character" w:customStyle="1" w:styleId="FooterChar">
    <w:name w:val="Footer Char"/>
    <w:basedOn w:val="DefaultParagraphFont"/>
    <w:link w:val="Footer"/>
    <w:uiPriority w:val="99"/>
    <w:rsid w:val="00A20780"/>
    <w:rPr>
      <w:rFonts w:eastAsia="Times New Roman"/>
      <w:sz w:val="26"/>
      <w:szCs w:val="26"/>
    </w:rPr>
  </w:style>
  <w:style w:type="character" w:customStyle="1" w:styleId="source-title">
    <w:name w:val="source-title"/>
    <w:basedOn w:val="DefaultParagraphFont"/>
    <w:rsid w:val="00BD41EF"/>
  </w:style>
  <w:style w:type="character" w:customStyle="1" w:styleId="source-count">
    <w:name w:val="source-count"/>
    <w:basedOn w:val="DefaultParagraphFont"/>
    <w:rsid w:val="00BD41EF"/>
  </w:style>
  <w:style w:type="paragraph" w:styleId="Header">
    <w:name w:val="header"/>
    <w:basedOn w:val="Normal"/>
    <w:link w:val="HeaderChar"/>
    <w:uiPriority w:val="99"/>
    <w:unhideWhenUsed/>
    <w:rsid w:val="001073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604463">
      <w:bodyDiv w:val="1"/>
      <w:marLeft w:val="0"/>
      <w:marRight w:val="0"/>
      <w:marTop w:val="0"/>
      <w:marBottom w:val="0"/>
      <w:divBdr>
        <w:top w:val="none" w:sz="0" w:space="0" w:color="auto"/>
        <w:left w:val="none" w:sz="0" w:space="0" w:color="auto"/>
        <w:bottom w:val="none" w:sz="0" w:space="0" w:color="auto"/>
        <w:right w:val="none" w:sz="0" w:space="0" w:color="auto"/>
      </w:divBdr>
    </w:div>
    <w:div w:id="866597419">
      <w:bodyDiv w:val="1"/>
      <w:marLeft w:val="0"/>
      <w:marRight w:val="0"/>
      <w:marTop w:val="0"/>
      <w:marBottom w:val="0"/>
      <w:divBdr>
        <w:top w:val="none" w:sz="0" w:space="0" w:color="auto"/>
        <w:left w:val="none" w:sz="0" w:space="0" w:color="auto"/>
        <w:bottom w:val="none" w:sz="0" w:space="0" w:color="auto"/>
        <w:right w:val="none" w:sz="0" w:space="0" w:color="auto"/>
      </w:divBdr>
      <w:divsChild>
        <w:div w:id="506098908">
          <w:marLeft w:val="0"/>
          <w:marRight w:val="0"/>
          <w:marTop w:val="0"/>
          <w:marBottom w:val="0"/>
          <w:divBdr>
            <w:top w:val="none" w:sz="0" w:space="0" w:color="auto"/>
            <w:left w:val="none" w:sz="0" w:space="0" w:color="auto"/>
            <w:bottom w:val="none" w:sz="0" w:space="0" w:color="auto"/>
            <w:right w:val="none" w:sz="0" w:space="0" w:color="auto"/>
          </w:divBdr>
          <w:divsChild>
            <w:div w:id="1756591833">
              <w:marLeft w:val="0"/>
              <w:marRight w:val="0"/>
              <w:marTop w:val="0"/>
              <w:marBottom w:val="0"/>
              <w:divBdr>
                <w:top w:val="none" w:sz="0" w:space="0" w:color="auto"/>
                <w:left w:val="none" w:sz="0" w:space="0" w:color="auto"/>
                <w:bottom w:val="none" w:sz="0" w:space="0" w:color="auto"/>
                <w:right w:val="none" w:sz="0" w:space="0" w:color="auto"/>
              </w:divBdr>
              <w:divsChild>
                <w:div w:id="1643775603">
                  <w:marLeft w:val="0"/>
                  <w:marRight w:val="0"/>
                  <w:marTop w:val="0"/>
                  <w:marBottom w:val="0"/>
                  <w:divBdr>
                    <w:top w:val="none" w:sz="0" w:space="0" w:color="auto"/>
                    <w:left w:val="none" w:sz="0" w:space="0" w:color="auto"/>
                    <w:bottom w:val="none" w:sz="0" w:space="0" w:color="auto"/>
                    <w:right w:val="none" w:sz="0" w:space="0" w:color="auto"/>
                  </w:divBdr>
                  <w:divsChild>
                    <w:div w:id="1724207469">
                      <w:marLeft w:val="0"/>
                      <w:marRight w:val="0"/>
                      <w:marTop w:val="0"/>
                      <w:marBottom w:val="0"/>
                      <w:divBdr>
                        <w:top w:val="none" w:sz="0" w:space="0" w:color="auto"/>
                        <w:left w:val="none" w:sz="0" w:space="0" w:color="auto"/>
                        <w:bottom w:val="none" w:sz="0" w:space="0" w:color="auto"/>
                        <w:right w:val="none" w:sz="0" w:space="0" w:color="auto"/>
                      </w:divBdr>
                    </w:div>
                  </w:divsChild>
                </w:div>
                <w:div w:id="262955678">
                  <w:marLeft w:val="0"/>
                  <w:marRight w:val="0"/>
                  <w:marTop w:val="0"/>
                  <w:marBottom w:val="0"/>
                  <w:divBdr>
                    <w:top w:val="none" w:sz="0" w:space="0" w:color="auto"/>
                    <w:left w:val="none" w:sz="0" w:space="0" w:color="auto"/>
                    <w:bottom w:val="none" w:sz="0" w:space="0" w:color="auto"/>
                    <w:right w:val="none" w:sz="0" w:space="0" w:color="auto"/>
                  </w:divBdr>
                  <w:divsChild>
                    <w:div w:id="1719745754">
                      <w:marLeft w:val="0"/>
                      <w:marRight w:val="0"/>
                      <w:marTop w:val="0"/>
                      <w:marBottom w:val="0"/>
                      <w:divBdr>
                        <w:top w:val="none" w:sz="0" w:space="0" w:color="auto"/>
                        <w:left w:val="none" w:sz="0" w:space="0" w:color="auto"/>
                        <w:bottom w:val="none" w:sz="0" w:space="0" w:color="auto"/>
                        <w:right w:val="none" w:sz="0" w:space="0" w:color="auto"/>
                      </w:divBdr>
                    </w:div>
                  </w:divsChild>
                </w:div>
                <w:div w:id="2118716598">
                  <w:marLeft w:val="0"/>
                  <w:marRight w:val="0"/>
                  <w:marTop w:val="0"/>
                  <w:marBottom w:val="0"/>
                  <w:divBdr>
                    <w:top w:val="none" w:sz="0" w:space="0" w:color="auto"/>
                    <w:left w:val="none" w:sz="0" w:space="0" w:color="auto"/>
                    <w:bottom w:val="none" w:sz="0" w:space="0" w:color="auto"/>
                    <w:right w:val="none" w:sz="0" w:space="0" w:color="auto"/>
                  </w:divBdr>
                  <w:divsChild>
                    <w:div w:id="1915624520">
                      <w:marLeft w:val="0"/>
                      <w:marRight w:val="0"/>
                      <w:marTop w:val="0"/>
                      <w:marBottom w:val="0"/>
                      <w:divBdr>
                        <w:top w:val="none" w:sz="0" w:space="0" w:color="auto"/>
                        <w:left w:val="none" w:sz="0" w:space="0" w:color="auto"/>
                        <w:bottom w:val="none" w:sz="0" w:space="0" w:color="auto"/>
                        <w:right w:val="none" w:sz="0" w:space="0" w:color="auto"/>
                      </w:divBdr>
                    </w:div>
                  </w:divsChild>
                </w:div>
                <w:div w:id="2125925060">
                  <w:marLeft w:val="0"/>
                  <w:marRight w:val="0"/>
                  <w:marTop w:val="0"/>
                  <w:marBottom w:val="0"/>
                  <w:divBdr>
                    <w:top w:val="none" w:sz="0" w:space="0" w:color="auto"/>
                    <w:left w:val="none" w:sz="0" w:space="0" w:color="auto"/>
                    <w:bottom w:val="none" w:sz="0" w:space="0" w:color="auto"/>
                    <w:right w:val="none" w:sz="0" w:space="0" w:color="auto"/>
                  </w:divBdr>
                  <w:divsChild>
                    <w:div w:id="494299590">
                      <w:marLeft w:val="0"/>
                      <w:marRight w:val="0"/>
                      <w:marTop w:val="0"/>
                      <w:marBottom w:val="0"/>
                      <w:divBdr>
                        <w:top w:val="none" w:sz="0" w:space="0" w:color="auto"/>
                        <w:left w:val="none" w:sz="0" w:space="0" w:color="auto"/>
                        <w:bottom w:val="none" w:sz="0" w:space="0" w:color="auto"/>
                        <w:right w:val="none" w:sz="0" w:space="0" w:color="auto"/>
                      </w:divBdr>
                    </w:div>
                  </w:divsChild>
                </w:div>
                <w:div w:id="1725713713">
                  <w:marLeft w:val="0"/>
                  <w:marRight w:val="0"/>
                  <w:marTop w:val="0"/>
                  <w:marBottom w:val="0"/>
                  <w:divBdr>
                    <w:top w:val="none" w:sz="0" w:space="0" w:color="auto"/>
                    <w:left w:val="none" w:sz="0" w:space="0" w:color="auto"/>
                    <w:bottom w:val="none" w:sz="0" w:space="0" w:color="auto"/>
                    <w:right w:val="none" w:sz="0" w:space="0" w:color="auto"/>
                  </w:divBdr>
                  <w:divsChild>
                    <w:div w:id="303048549">
                      <w:marLeft w:val="0"/>
                      <w:marRight w:val="0"/>
                      <w:marTop w:val="0"/>
                      <w:marBottom w:val="0"/>
                      <w:divBdr>
                        <w:top w:val="none" w:sz="0" w:space="0" w:color="auto"/>
                        <w:left w:val="none" w:sz="0" w:space="0" w:color="auto"/>
                        <w:bottom w:val="none" w:sz="0" w:space="0" w:color="auto"/>
                        <w:right w:val="none" w:sz="0" w:space="0" w:color="auto"/>
                      </w:divBdr>
                    </w:div>
                  </w:divsChild>
                </w:div>
                <w:div w:id="1809785884">
                  <w:marLeft w:val="0"/>
                  <w:marRight w:val="0"/>
                  <w:marTop w:val="0"/>
                  <w:marBottom w:val="0"/>
                  <w:divBdr>
                    <w:top w:val="none" w:sz="0" w:space="0" w:color="auto"/>
                    <w:left w:val="none" w:sz="0" w:space="0" w:color="auto"/>
                    <w:bottom w:val="none" w:sz="0" w:space="0" w:color="auto"/>
                    <w:right w:val="none" w:sz="0" w:space="0" w:color="auto"/>
                  </w:divBdr>
                  <w:divsChild>
                    <w:div w:id="1682706055">
                      <w:marLeft w:val="0"/>
                      <w:marRight w:val="0"/>
                      <w:marTop w:val="0"/>
                      <w:marBottom w:val="0"/>
                      <w:divBdr>
                        <w:top w:val="none" w:sz="0" w:space="0" w:color="auto"/>
                        <w:left w:val="none" w:sz="0" w:space="0" w:color="auto"/>
                        <w:bottom w:val="none" w:sz="0" w:space="0" w:color="auto"/>
                        <w:right w:val="none" w:sz="0" w:space="0" w:color="auto"/>
                      </w:divBdr>
                    </w:div>
                  </w:divsChild>
                </w:div>
                <w:div w:id="104159207">
                  <w:marLeft w:val="0"/>
                  <w:marRight w:val="0"/>
                  <w:marTop w:val="0"/>
                  <w:marBottom w:val="0"/>
                  <w:divBdr>
                    <w:top w:val="none" w:sz="0" w:space="0" w:color="auto"/>
                    <w:left w:val="none" w:sz="0" w:space="0" w:color="auto"/>
                    <w:bottom w:val="none" w:sz="0" w:space="0" w:color="auto"/>
                    <w:right w:val="none" w:sz="0" w:space="0" w:color="auto"/>
                  </w:divBdr>
                  <w:divsChild>
                    <w:div w:id="157189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958363">
      <w:bodyDiv w:val="1"/>
      <w:marLeft w:val="0"/>
      <w:marRight w:val="0"/>
      <w:marTop w:val="0"/>
      <w:marBottom w:val="0"/>
      <w:divBdr>
        <w:top w:val="none" w:sz="0" w:space="0" w:color="auto"/>
        <w:left w:val="none" w:sz="0" w:space="0" w:color="auto"/>
        <w:bottom w:val="none" w:sz="0" w:space="0" w:color="auto"/>
        <w:right w:val="none" w:sz="0" w:space="0" w:color="auto"/>
      </w:divBdr>
      <w:divsChild>
        <w:div w:id="775096989">
          <w:marLeft w:val="0"/>
          <w:marRight w:val="0"/>
          <w:marTop w:val="0"/>
          <w:marBottom w:val="0"/>
          <w:divBdr>
            <w:top w:val="none" w:sz="0" w:space="0" w:color="auto"/>
            <w:left w:val="none" w:sz="0" w:space="0" w:color="auto"/>
            <w:bottom w:val="none" w:sz="0" w:space="0" w:color="auto"/>
            <w:right w:val="none" w:sz="0" w:space="0" w:color="auto"/>
          </w:divBdr>
          <w:divsChild>
            <w:div w:id="1215386651">
              <w:marLeft w:val="0"/>
              <w:marRight w:val="0"/>
              <w:marTop w:val="0"/>
              <w:marBottom w:val="0"/>
              <w:divBdr>
                <w:top w:val="none" w:sz="0" w:space="0" w:color="auto"/>
                <w:left w:val="none" w:sz="0" w:space="0" w:color="auto"/>
                <w:bottom w:val="none" w:sz="0" w:space="0" w:color="auto"/>
                <w:right w:val="none" w:sz="0" w:space="0" w:color="auto"/>
              </w:divBdr>
              <w:divsChild>
                <w:div w:id="1708873626">
                  <w:marLeft w:val="0"/>
                  <w:marRight w:val="0"/>
                  <w:marTop w:val="0"/>
                  <w:marBottom w:val="0"/>
                  <w:divBdr>
                    <w:top w:val="none" w:sz="0" w:space="0" w:color="auto"/>
                    <w:left w:val="none" w:sz="0" w:space="0" w:color="auto"/>
                    <w:bottom w:val="none" w:sz="0" w:space="0" w:color="auto"/>
                    <w:right w:val="none" w:sz="0" w:space="0" w:color="auto"/>
                  </w:divBdr>
                  <w:divsChild>
                    <w:div w:id="128474545">
                      <w:marLeft w:val="0"/>
                      <w:marRight w:val="0"/>
                      <w:marTop w:val="0"/>
                      <w:marBottom w:val="0"/>
                      <w:divBdr>
                        <w:top w:val="none" w:sz="0" w:space="0" w:color="auto"/>
                        <w:left w:val="none" w:sz="0" w:space="0" w:color="auto"/>
                        <w:bottom w:val="none" w:sz="0" w:space="0" w:color="auto"/>
                        <w:right w:val="none" w:sz="0" w:space="0" w:color="auto"/>
                      </w:divBdr>
                    </w:div>
                  </w:divsChild>
                </w:div>
                <w:div w:id="1534152494">
                  <w:marLeft w:val="0"/>
                  <w:marRight w:val="0"/>
                  <w:marTop w:val="0"/>
                  <w:marBottom w:val="0"/>
                  <w:divBdr>
                    <w:top w:val="none" w:sz="0" w:space="0" w:color="auto"/>
                    <w:left w:val="none" w:sz="0" w:space="0" w:color="auto"/>
                    <w:bottom w:val="none" w:sz="0" w:space="0" w:color="auto"/>
                    <w:right w:val="none" w:sz="0" w:space="0" w:color="auto"/>
                  </w:divBdr>
                  <w:divsChild>
                    <w:div w:id="1080103202">
                      <w:marLeft w:val="0"/>
                      <w:marRight w:val="0"/>
                      <w:marTop w:val="0"/>
                      <w:marBottom w:val="0"/>
                      <w:divBdr>
                        <w:top w:val="none" w:sz="0" w:space="0" w:color="auto"/>
                        <w:left w:val="none" w:sz="0" w:space="0" w:color="auto"/>
                        <w:bottom w:val="none" w:sz="0" w:space="0" w:color="auto"/>
                        <w:right w:val="none" w:sz="0" w:space="0" w:color="auto"/>
                      </w:divBdr>
                    </w:div>
                  </w:divsChild>
                </w:div>
                <w:div w:id="2118864896">
                  <w:marLeft w:val="0"/>
                  <w:marRight w:val="0"/>
                  <w:marTop w:val="0"/>
                  <w:marBottom w:val="0"/>
                  <w:divBdr>
                    <w:top w:val="none" w:sz="0" w:space="0" w:color="auto"/>
                    <w:left w:val="none" w:sz="0" w:space="0" w:color="auto"/>
                    <w:bottom w:val="none" w:sz="0" w:space="0" w:color="auto"/>
                    <w:right w:val="none" w:sz="0" w:space="0" w:color="auto"/>
                  </w:divBdr>
                  <w:divsChild>
                    <w:div w:id="735054805">
                      <w:marLeft w:val="0"/>
                      <w:marRight w:val="0"/>
                      <w:marTop w:val="0"/>
                      <w:marBottom w:val="0"/>
                      <w:divBdr>
                        <w:top w:val="none" w:sz="0" w:space="0" w:color="auto"/>
                        <w:left w:val="none" w:sz="0" w:space="0" w:color="auto"/>
                        <w:bottom w:val="none" w:sz="0" w:space="0" w:color="auto"/>
                        <w:right w:val="none" w:sz="0" w:space="0" w:color="auto"/>
                      </w:divBdr>
                    </w:div>
                  </w:divsChild>
                </w:div>
                <w:div w:id="831801154">
                  <w:marLeft w:val="0"/>
                  <w:marRight w:val="0"/>
                  <w:marTop w:val="0"/>
                  <w:marBottom w:val="0"/>
                  <w:divBdr>
                    <w:top w:val="none" w:sz="0" w:space="0" w:color="auto"/>
                    <w:left w:val="none" w:sz="0" w:space="0" w:color="auto"/>
                    <w:bottom w:val="none" w:sz="0" w:space="0" w:color="auto"/>
                    <w:right w:val="none" w:sz="0" w:space="0" w:color="auto"/>
                  </w:divBdr>
                  <w:divsChild>
                    <w:div w:id="65479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109870">
      <w:bodyDiv w:val="1"/>
      <w:marLeft w:val="0"/>
      <w:marRight w:val="0"/>
      <w:marTop w:val="0"/>
      <w:marBottom w:val="0"/>
      <w:divBdr>
        <w:top w:val="none" w:sz="0" w:space="0" w:color="auto"/>
        <w:left w:val="none" w:sz="0" w:space="0" w:color="auto"/>
        <w:bottom w:val="none" w:sz="0" w:space="0" w:color="auto"/>
        <w:right w:val="none" w:sz="0" w:space="0" w:color="auto"/>
      </w:divBdr>
    </w:div>
    <w:div w:id="177532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947EA-70C9-4CE6-9163-410B686DC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2324</Words>
  <Characters>13251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hvmanh.ictu@gmail.com</dc:creator>
  <cp:lastModifiedBy>Ngô Quang Trung- TB Tuyên giáo ĐU</cp:lastModifiedBy>
  <cp:revision>10</cp:revision>
  <dcterms:created xsi:type="dcterms:W3CDTF">2026-09-28T14:33:00Z</dcterms:created>
  <dcterms:modified xsi:type="dcterms:W3CDTF">2026-10-07T03:26:00Z</dcterms:modified>
</cp:coreProperties>
</file>